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highlight w:val="none"/>
          <w:lang w:eastAsia="zh-CN"/>
        </w:rPr>
        <w:t>附件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highlight w:val="none"/>
          <w:lang w:eastAsia="zh-CN"/>
        </w:rPr>
        <w:t>山西水利建设市场主体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highlight w:val="none"/>
        </w:rPr>
        <w:t>不良行为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highlight w:val="none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highlight w:val="none"/>
        </w:rPr>
        <w:t>书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（水行政主管部门名称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不良认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字〔   〕第  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081"/>
        <w:gridCol w:w="256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人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自然人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务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话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地    址   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法人代表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不良行为事实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  <w:t>（包括时间、地点、基本情况、危害后果等）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责任追究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结果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约谈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停工整改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建议解除合同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警告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通报批评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罚款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没收违法所得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没收非法财物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暂扣许可证件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降低资质等级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吊销许可证件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限制开展生产经营活动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责令停产停业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责令关闭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限制从业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处理依据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  <w:t>（法律条款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或合同约定等依据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认定单位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600" w:lineRule="exact"/>
              <w:ind w:left="3150" w:leftChars="1400" w:right="0" w:rightChars="0" w:hanging="210" w:hangingChars="1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</w:rPr>
              <w:t>（水行政主管部门名称及印章）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3780" w:firstLineChars="18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69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如已形成加盖印章的制式文书附其后，此表可不填写。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294F"/>
    <w:rsid w:val="23B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  <w:rPr>
      <w:rFonts w:ascii="Calibri" w:hAnsi="Calibri" w:eastAsia="宋体" w:cs="Times New Roman"/>
    </w:rPr>
  </w:style>
  <w:style w:type="paragraph" w:styleId="3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2021-11-29T08:50:00Z</dcterms:created>
  <dc:creator>YH</dc:creator>
  <cp:lastModifiedBy>YH</cp:lastModifiedBy>
  <dcterms:modified xsi:type="dcterms:W3CDTF">2021-11-29T08:50:48Z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4E506459896346B1958E9479C32743C9</vt:lpwstr>
  </property>
</Properties>
</file>